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704"/>
      </w:tblGrid>
      <w:tr w:rsidR="00B73899" w:rsidTr="00103033">
        <w:trPr>
          <w:jc w:val="center"/>
        </w:trPr>
        <w:tc>
          <w:tcPr>
            <w:tcW w:w="4219" w:type="dxa"/>
            <w:vAlign w:val="center"/>
          </w:tcPr>
          <w:p w:rsidR="00B73899" w:rsidRPr="00560F1B" w:rsidRDefault="003F7027" w:rsidP="00103033">
            <w:pPr>
              <w:spacing w:line="312" w:lineRule="auto"/>
              <w:jc w:val="center"/>
              <w:rPr>
                <w:sz w:val="26"/>
                <w:szCs w:val="26"/>
              </w:rPr>
            </w:pPr>
            <w:r>
              <w:rPr>
                <w:sz w:val="26"/>
                <w:szCs w:val="26"/>
              </w:rPr>
              <w:t>PHÒNG GD &amp; ĐT THỦ THỪA</w:t>
            </w:r>
          </w:p>
          <w:p w:rsidR="00B73899" w:rsidRPr="00560F1B" w:rsidRDefault="00546C1F" w:rsidP="003F7027">
            <w:pPr>
              <w:spacing w:line="312" w:lineRule="auto"/>
              <w:jc w:val="center"/>
              <w:rPr>
                <w:b/>
              </w:rPr>
            </w:pPr>
            <w:r w:rsidRPr="00546C1F">
              <w:rPr>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64pt;margin-top:15.55pt;width:102.05pt;height:0;z-index:251658240" o:connectortype="straight"/>
              </w:pict>
            </w:r>
            <w:r w:rsidR="00B73899" w:rsidRPr="00560F1B">
              <w:rPr>
                <w:b/>
              </w:rPr>
              <w:t xml:space="preserve">TRƯỜNG </w:t>
            </w:r>
            <w:r w:rsidR="00A54F48">
              <w:rPr>
                <w:b/>
              </w:rPr>
              <w:t>MG LONG THẠNH</w:t>
            </w:r>
          </w:p>
        </w:tc>
        <w:tc>
          <w:tcPr>
            <w:tcW w:w="5704" w:type="dxa"/>
            <w:vAlign w:val="center"/>
          </w:tcPr>
          <w:p w:rsidR="00B73899" w:rsidRPr="00560F1B" w:rsidRDefault="00B73899" w:rsidP="00103033">
            <w:pPr>
              <w:spacing w:line="312" w:lineRule="auto"/>
              <w:jc w:val="center"/>
              <w:rPr>
                <w:b/>
                <w:sz w:val="26"/>
                <w:szCs w:val="26"/>
              </w:rPr>
            </w:pPr>
            <w:r w:rsidRPr="00560F1B">
              <w:rPr>
                <w:b/>
                <w:sz w:val="26"/>
                <w:szCs w:val="26"/>
              </w:rPr>
              <w:t>CỘNG HÒA XÃ HỘI CHỦ NGHĨA VIỆT NAM</w:t>
            </w:r>
          </w:p>
          <w:p w:rsidR="00B73899" w:rsidRPr="00560F1B" w:rsidRDefault="00546C1F" w:rsidP="00103033">
            <w:pPr>
              <w:spacing w:line="312" w:lineRule="auto"/>
              <w:jc w:val="center"/>
              <w:rPr>
                <w:b/>
              </w:rPr>
            </w:pPr>
            <w:r w:rsidRPr="00546C1F">
              <w:rPr>
                <w:noProof/>
                <w:szCs w:val="28"/>
              </w:rPr>
              <w:pict>
                <v:shape id="_x0000_s1027" type="#_x0000_t32" style="position:absolute;left:0;text-align:left;margin-left:51.3pt;margin-top:16.4pt;width:172.9pt;height:0;z-index:251659264" o:connectortype="straight"/>
              </w:pict>
            </w:r>
            <w:r w:rsidR="00B73899" w:rsidRPr="00560F1B">
              <w:rPr>
                <w:b/>
              </w:rPr>
              <w:t>Độc lập – Tự do – Hạnh phúc</w:t>
            </w:r>
          </w:p>
        </w:tc>
      </w:tr>
      <w:tr w:rsidR="00B73899" w:rsidRPr="00560F1B" w:rsidTr="00103033">
        <w:trPr>
          <w:jc w:val="center"/>
        </w:trPr>
        <w:tc>
          <w:tcPr>
            <w:tcW w:w="4219" w:type="dxa"/>
            <w:vAlign w:val="center"/>
          </w:tcPr>
          <w:p w:rsidR="00B73899" w:rsidRDefault="00B73899" w:rsidP="003F7027">
            <w:pPr>
              <w:spacing w:line="312" w:lineRule="auto"/>
              <w:jc w:val="center"/>
            </w:pPr>
            <w:r>
              <w:t>Số:</w:t>
            </w:r>
            <w:r w:rsidR="00103033">
              <w:t xml:space="preserve"> </w:t>
            </w:r>
            <w:r w:rsidR="003F7027">
              <w:t xml:space="preserve">    </w:t>
            </w:r>
            <w:r w:rsidR="00103033">
              <w:t>/BC-</w:t>
            </w:r>
            <w:r w:rsidR="00A54F48">
              <w:t>MG</w:t>
            </w:r>
            <w:r w:rsidR="003F7027">
              <w:t>LT</w:t>
            </w:r>
          </w:p>
        </w:tc>
        <w:tc>
          <w:tcPr>
            <w:tcW w:w="5704" w:type="dxa"/>
            <w:vAlign w:val="center"/>
          </w:tcPr>
          <w:p w:rsidR="00B73899" w:rsidRPr="00560F1B" w:rsidRDefault="00A54F48" w:rsidP="003F7027">
            <w:pPr>
              <w:spacing w:line="312" w:lineRule="auto"/>
              <w:jc w:val="center"/>
              <w:rPr>
                <w:i/>
              </w:rPr>
            </w:pPr>
            <w:r>
              <w:rPr>
                <w:i/>
              </w:rPr>
              <w:t>Long Thạnh</w:t>
            </w:r>
            <w:r w:rsidR="00B73899" w:rsidRPr="00560F1B">
              <w:rPr>
                <w:i/>
              </w:rPr>
              <w:t xml:space="preserve">, ngày </w:t>
            </w:r>
            <w:r w:rsidR="003F7027">
              <w:rPr>
                <w:i/>
              </w:rPr>
              <w:t xml:space="preserve"> </w:t>
            </w:r>
            <w:r>
              <w:rPr>
                <w:i/>
              </w:rPr>
              <w:t>04</w:t>
            </w:r>
            <w:r w:rsidR="003F7027">
              <w:rPr>
                <w:i/>
              </w:rPr>
              <w:t xml:space="preserve"> </w:t>
            </w:r>
            <w:r w:rsidR="00B73899" w:rsidRPr="00560F1B">
              <w:rPr>
                <w:i/>
              </w:rPr>
              <w:t xml:space="preserve"> tháng </w:t>
            </w:r>
            <w:r w:rsidR="003F7027">
              <w:rPr>
                <w:i/>
              </w:rPr>
              <w:t xml:space="preserve"> </w:t>
            </w:r>
            <w:r>
              <w:rPr>
                <w:i/>
              </w:rPr>
              <w:t>02</w:t>
            </w:r>
            <w:r w:rsidR="003F7027">
              <w:rPr>
                <w:i/>
              </w:rPr>
              <w:t xml:space="preserve"> </w:t>
            </w:r>
            <w:r w:rsidR="00B73899" w:rsidRPr="00560F1B">
              <w:rPr>
                <w:i/>
              </w:rPr>
              <w:t xml:space="preserve"> năm 20</w:t>
            </w:r>
            <w:r w:rsidR="003F7027">
              <w:rPr>
                <w:i/>
              </w:rPr>
              <w:t>20</w:t>
            </w:r>
          </w:p>
        </w:tc>
      </w:tr>
    </w:tbl>
    <w:p w:rsidR="001237CB" w:rsidRDefault="001237CB" w:rsidP="00103033">
      <w:pPr>
        <w:spacing w:line="312" w:lineRule="auto"/>
      </w:pPr>
    </w:p>
    <w:p w:rsidR="00B73899" w:rsidRPr="00560F1B" w:rsidRDefault="00B73899" w:rsidP="00560F1B">
      <w:pPr>
        <w:jc w:val="center"/>
        <w:rPr>
          <w:b/>
          <w:sz w:val="32"/>
        </w:rPr>
      </w:pPr>
      <w:r w:rsidRPr="00560F1B">
        <w:rPr>
          <w:b/>
          <w:sz w:val="32"/>
        </w:rPr>
        <w:t>BÁO CÁO</w:t>
      </w:r>
    </w:p>
    <w:p w:rsidR="00B73899" w:rsidRDefault="00B73899" w:rsidP="00560F1B">
      <w:pPr>
        <w:jc w:val="center"/>
        <w:rPr>
          <w:b/>
          <w:sz w:val="32"/>
        </w:rPr>
      </w:pPr>
      <w:r w:rsidRPr="00560F1B">
        <w:rPr>
          <w:b/>
          <w:sz w:val="32"/>
        </w:rPr>
        <w:t>Tình hình quản lý, sử dụng tài sản nhà nước tại đơn vị</w:t>
      </w:r>
    </w:p>
    <w:p w:rsidR="00103033" w:rsidRPr="00560F1B" w:rsidRDefault="00A54F48" w:rsidP="00560F1B">
      <w:pPr>
        <w:jc w:val="center"/>
        <w:rPr>
          <w:b/>
          <w:sz w:val="32"/>
        </w:rPr>
      </w:pPr>
      <w:r>
        <w:rPr>
          <w:noProof/>
          <w:sz w:val="26"/>
          <w:szCs w:val="26"/>
        </w:rPr>
        <w:pict>
          <v:shape id="_x0000_s1028" type="#_x0000_t32" style="position:absolute;left:0;text-align:left;margin-left:196.7pt;margin-top:3.55pt;width:78.25pt;height:0;z-index:251660288" o:connectortype="straight"/>
        </w:pict>
      </w:r>
    </w:p>
    <w:p w:rsidR="00560F1B" w:rsidRPr="00560F1B" w:rsidRDefault="00560F1B" w:rsidP="00103033">
      <w:pPr>
        <w:spacing w:line="312" w:lineRule="auto"/>
        <w:ind w:firstLine="720"/>
        <w:jc w:val="both"/>
        <w:rPr>
          <w:rFonts w:eastAsia="Calibri" w:cs="Times New Roman"/>
          <w:szCs w:val="28"/>
        </w:rPr>
      </w:pPr>
      <w:r w:rsidRPr="00560F1B">
        <w:rPr>
          <w:rFonts w:eastAsia="Calibri" w:cs="Times New Roman"/>
          <w:iCs/>
          <w:szCs w:val="28"/>
        </w:rPr>
        <w:t>Căn cứ Luật Quản lý, sử dụng tài sản nhà nước ngày 03 tháng 6 năm 2008;</w:t>
      </w:r>
    </w:p>
    <w:p w:rsidR="00560F1B" w:rsidRPr="00560F1B" w:rsidRDefault="00560F1B" w:rsidP="00103033">
      <w:pPr>
        <w:spacing w:line="312" w:lineRule="auto"/>
        <w:ind w:firstLine="720"/>
        <w:jc w:val="both"/>
        <w:rPr>
          <w:rFonts w:eastAsia="Calibri" w:cs="Times New Roman"/>
          <w:szCs w:val="28"/>
        </w:rPr>
      </w:pPr>
      <w:r w:rsidRPr="00560F1B">
        <w:rPr>
          <w:rFonts w:eastAsia="Calibri" w:cs="Times New Roman"/>
          <w:iCs/>
          <w:szCs w:val="28"/>
        </w:rPr>
        <w:t>Căn cứ Nghị định số 52/2009/NĐ-CP ngày 03 tháng 6 năm 2009 của Chính phủ Quy định chi tiết và hướng dẫn thi hành một số điều của Luật Quản lý, sử dụng tài sản nhà nước;</w:t>
      </w:r>
    </w:p>
    <w:p w:rsidR="00560F1B" w:rsidRPr="00560F1B" w:rsidRDefault="00560F1B" w:rsidP="00103033">
      <w:pPr>
        <w:spacing w:line="312" w:lineRule="auto"/>
        <w:ind w:firstLine="720"/>
        <w:jc w:val="both"/>
        <w:rPr>
          <w:rFonts w:eastAsia="Calibri" w:cs="Times New Roman"/>
          <w:szCs w:val="28"/>
        </w:rPr>
      </w:pPr>
      <w:r w:rsidRPr="00560F1B">
        <w:rPr>
          <w:rFonts w:eastAsia="Calibri" w:cs="Times New Roman"/>
          <w:iCs/>
          <w:szCs w:val="28"/>
        </w:rPr>
        <w:t>Căn cứ Nghị định số 29/2014/NĐ-CP ngày 10 tháng 4 năm 2014 của Chính phủ Quy định về thẩm quyền, thủ tục xác lập quyền sở hữu của Nhà nước về tài sản và quản lý, xử lý tài sản được xác lập quyền sở hữu nhà nước;</w:t>
      </w:r>
    </w:p>
    <w:p w:rsidR="00560F1B" w:rsidRPr="00560F1B" w:rsidRDefault="00560F1B" w:rsidP="00103033">
      <w:pPr>
        <w:spacing w:line="312" w:lineRule="auto"/>
        <w:ind w:firstLine="720"/>
        <w:jc w:val="both"/>
        <w:rPr>
          <w:rFonts w:eastAsia="Calibri" w:cs="Times New Roman"/>
          <w:szCs w:val="28"/>
        </w:rPr>
      </w:pPr>
      <w:r w:rsidRPr="00560F1B">
        <w:rPr>
          <w:rFonts w:eastAsia="Calibri" w:cs="Times New Roman"/>
          <w:iCs/>
          <w:szCs w:val="28"/>
        </w:rPr>
        <w:t>Căn cứ Thông tư số 245/2009/TT-BTC ngày 31 tháng 12 năm 2009 của Bộ Tài chính quy định thực hiện một số nội dung của Nghị định số 52/2009/NĐ-CP ngày 03 tháng 6 năm 2009 của Chính phủ Quy định chi tiết và hướng dẫn thi hành một số điều của Luật Quản lý, sử dụng tài sản nhà nước; Thông tư số 09/2012/TT-BTC ngày 19 tháng 01 năm 2012 của Bộ Tài chính về việc sửa đổi, bổ sung Thông tư số 245/2009/TT-BTC; Thông tư số 159/2014/TT-BTC ngày 27 tháng 10 năm 2014 của Bộ Tài chính Hướng dẫn thực hiện một số nội dung của Nghị định số 29/2014/NĐ-CP ngày 10 tháng 4 năm 2014 của Chính phủ Quy định về thẩm quyền, thủ tục xác lập quyền sở hữu của nhà nước về tài sản và quản lý, xử lý tài sản được xác lập quyền sở hữu nhà nước;</w:t>
      </w:r>
    </w:p>
    <w:p w:rsidR="00560F1B" w:rsidRDefault="00560F1B" w:rsidP="00103033">
      <w:pPr>
        <w:spacing w:line="312" w:lineRule="auto"/>
        <w:ind w:firstLine="720"/>
        <w:jc w:val="both"/>
        <w:rPr>
          <w:szCs w:val="28"/>
        </w:rPr>
      </w:pPr>
      <w:r>
        <w:rPr>
          <w:szCs w:val="28"/>
        </w:rPr>
        <w:t>Căn cứ công văn số 5</w:t>
      </w:r>
      <w:r w:rsidR="003F7027">
        <w:rPr>
          <w:szCs w:val="28"/>
        </w:rPr>
        <w:t>70</w:t>
      </w:r>
      <w:r>
        <w:rPr>
          <w:szCs w:val="28"/>
        </w:rPr>
        <w:t>/</w:t>
      </w:r>
      <w:r w:rsidR="003F7027">
        <w:rPr>
          <w:szCs w:val="28"/>
        </w:rPr>
        <w:t>UBND-</w:t>
      </w:r>
      <w:proofErr w:type="gramStart"/>
      <w:r w:rsidR="003F7027">
        <w:rPr>
          <w:szCs w:val="28"/>
        </w:rPr>
        <w:t xml:space="preserve">KT </w:t>
      </w:r>
      <w:r>
        <w:rPr>
          <w:szCs w:val="28"/>
        </w:rPr>
        <w:t xml:space="preserve"> ngày</w:t>
      </w:r>
      <w:proofErr w:type="gramEnd"/>
      <w:r>
        <w:rPr>
          <w:szCs w:val="28"/>
        </w:rPr>
        <w:t xml:space="preserve"> </w:t>
      </w:r>
      <w:r w:rsidR="003F7027">
        <w:rPr>
          <w:szCs w:val="28"/>
        </w:rPr>
        <w:t>22</w:t>
      </w:r>
      <w:r>
        <w:rPr>
          <w:szCs w:val="28"/>
        </w:rPr>
        <w:t>/</w:t>
      </w:r>
      <w:r w:rsidR="003F7027">
        <w:rPr>
          <w:szCs w:val="28"/>
        </w:rPr>
        <w:t>01</w:t>
      </w:r>
      <w:r>
        <w:rPr>
          <w:szCs w:val="28"/>
        </w:rPr>
        <w:t>/20</w:t>
      </w:r>
      <w:r w:rsidR="003F7027">
        <w:rPr>
          <w:szCs w:val="28"/>
        </w:rPr>
        <w:t>20</w:t>
      </w:r>
      <w:r>
        <w:rPr>
          <w:szCs w:val="28"/>
        </w:rPr>
        <w:t xml:space="preserve"> của </w:t>
      </w:r>
      <w:r w:rsidR="003F7027">
        <w:rPr>
          <w:szCs w:val="28"/>
        </w:rPr>
        <w:t>UBND huyện Thủ Thừa</w:t>
      </w:r>
      <w:r>
        <w:rPr>
          <w:szCs w:val="28"/>
        </w:rPr>
        <w:t xml:space="preserve"> về việc </w:t>
      </w:r>
      <w:r w:rsidR="003F7027">
        <w:rPr>
          <w:szCs w:val="28"/>
        </w:rPr>
        <w:t>rà soát chuẩn hóa dữ liệu trong cơ sở dữ liệu quốc gia về tài sản công và báo cáo tình hình sử dụng tài sản công năm 2019</w:t>
      </w:r>
      <w:r>
        <w:rPr>
          <w:szCs w:val="28"/>
        </w:rPr>
        <w:t>,</w:t>
      </w:r>
    </w:p>
    <w:p w:rsidR="00560F1B" w:rsidRDefault="00560F1B" w:rsidP="00103033">
      <w:pPr>
        <w:spacing w:line="312" w:lineRule="auto"/>
        <w:ind w:firstLine="720"/>
        <w:jc w:val="both"/>
        <w:rPr>
          <w:szCs w:val="28"/>
        </w:rPr>
      </w:pPr>
      <w:r>
        <w:rPr>
          <w:szCs w:val="28"/>
        </w:rPr>
        <w:t xml:space="preserve">Trường </w:t>
      </w:r>
      <w:r w:rsidR="00A54F48">
        <w:rPr>
          <w:szCs w:val="28"/>
        </w:rPr>
        <w:t>mẫu giáo Long Thạnh</w:t>
      </w:r>
      <w:r>
        <w:rPr>
          <w:szCs w:val="28"/>
        </w:rPr>
        <w:t xml:space="preserve"> báo cáo thực trạng công tác quản lý, sử dụng tài sản nhà nước tại đơn vị và những nộ</w:t>
      </w:r>
      <w:r w:rsidR="00103033">
        <w:rPr>
          <w:szCs w:val="28"/>
        </w:rPr>
        <w:t xml:space="preserve">i dung </w:t>
      </w:r>
      <w:proofErr w:type="gramStart"/>
      <w:r w:rsidR="00103033">
        <w:rPr>
          <w:szCs w:val="28"/>
        </w:rPr>
        <w:t>theo</w:t>
      </w:r>
      <w:proofErr w:type="gramEnd"/>
      <w:r w:rsidR="00103033">
        <w:rPr>
          <w:szCs w:val="28"/>
        </w:rPr>
        <w:t xml:space="preserve"> </w:t>
      </w:r>
      <w:r>
        <w:rPr>
          <w:szCs w:val="28"/>
        </w:rPr>
        <w:t xml:space="preserve">yêu cầu của </w:t>
      </w:r>
      <w:r w:rsidR="003F7027">
        <w:rPr>
          <w:szCs w:val="28"/>
        </w:rPr>
        <w:t>Sở</w:t>
      </w:r>
      <w:r>
        <w:rPr>
          <w:szCs w:val="28"/>
        </w:rPr>
        <w:t xml:space="preserve"> Tài chính, cụ thể như sau:</w:t>
      </w:r>
    </w:p>
    <w:p w:rsidR="00560F1B" w:rsidRDefault="00560F1B" w:rsidP="00103033">
      <w:pPr>
        <w:spacing w:line="312" w:lineRule="auto"/>
        <w:ind w:firstLine="720"/>
        <w:jc w:val="both"/>
        <w:rPr>
          <w:szCs w:val="28"/>
        </w:rPr>
      </w:pPr>
      <w:r w:rsidRPr="003F7027">
        <w:rPr>
          <w:b/>
          <w:szCs w:val="28"/>
        </w:rPr>
        <w:t xml:space="preserve">1. Tình hình </w:t>
      </w:r>
      <w:r w:rsidR="00673756" w:rsidRPr="003F7027">
        <w:rPr>
          <w:b/>
          <w:szCs w:val="28"/>
        </w:rPr>
        <w:t>quản lý, sử dụng tài sản nhà nước</w:t>
      </w:r>
      <w:r w:rsidR="00673756">
        <w:rPr>
          <w:szCs w:val="28"/>
        </w:rPr>
        <w:t>:</w:t>
      </w:r>
    </w:p>
    <w:p w:rsidR="00673756" w:rsidRDefault="00673756" w:rsidP="003F7027">
      <w:pPr>
        <w:spacing w:line="312" w:lineRule="auto"/>
        <w:ind w:firstLine="720"/>
        <w:jc w:val="both"/>
        <w:rPr>
          <w:szCs w:val="28"/>
        </w:rPr>
      </w:pPr>
      <w:r>
        <w:rPr>
          <w:szCs w:val="28"/>
        </w:rPr>
        <w:t xml:space="preserve">a. Thực trạng công tác quản lý, sử dụng tài sản nhà nước: Trường </w:t>
      </w:r>
      <w:r w:rsidR="00A54F48">
        <w:rPr>
          <w:szCs w:val="28"/>
        </w:rPr>
        <w:t>mẫu giáo Long Thạnh</w:t>
      </w:r>
      <w:r>
        <w:rPr>
          <w:szCs w:val="28"/>
        </w:rPr>
        <w:t xml:space="preserve"> đã thực hiện quản lý, sử dụng tài sản nhà nước </w:t>
      </w:r>
      <w:proofErr w:type="gramStart"/>
      <w:r>
        <w:rPr>
          <w:szCs w:val="28"/>
        </w:rPr>
        <w:t>theo</w:t>
      </w:r>
      <w:proofErr w:type="gramEnd"/>
      <w:r>
        <w:rPr>
          <w:szCs w:val="28"/>
        </w:rPr>
        <w:t xml:space="preserve"> đúng quy định</w:t>
      </w:r>
      <w:r w:rsidR="00103033">
        <w:rPr>
          <w:szCs w:val="28"/>
        </w:rPr>
        <w:t xml:space="preserve"> </w:t>
      </w:r>
      <w:r>
        <w:rPr>
          <w:szCs w:val="28"/>
        </w:rPr>
        <w:t xml:space="preserve">của </w:t>
      </w:r>
      <w:r>
        <w:rPr>
          <w:szCs w:val="28"/>
        </w:rPr>
        <w:lastRenderedPageBreak/>
        <w:t>nhà nước. Hàng năm nhà trường đã thực hiện báo cáo kiểm kê tài sản cố định do đơn vị quản lý, sử dụng.</w:t>
      </w:r>
    </w:p>
    <w:p w:rsidR="00673756" w:rsidRDefault="00673756" w:rsidP="003F7027">
      <w:pPr>
        <w:spacing w:line="312" w:lineRule="auto"/>
        <w:ind w:firstLine="720"/>
        <w:jc w:val="both"/>
        <w:rPr>
          <w:szCs w:val="28"/>
        </w:rPr>
      </w:pPr>
      <w:proofErr w:type="gramStart"/>
      <w:r>
        <w:rPr>
          <w:szCs w:val="28"/>
        </w:rPr>
        <w:t>b</w:t>
      </w:r>
      <w:proofErr w:type="gramEnd"/>
      <w:r>
        <w:rPr>
          <w:szCs w:val="28"/>
        </w:rPr>
        <w:t>. Đánh giá những mặt tích cực, hiệu quả, những tồn tại, sai phạm trong quản lý, sử dụng tài sản nhà nước của đơn vị.</w:t>
      </w:r>
    </w:p>
    <w:p w:rsidR="00673756" w:rsidRDefault="00673756" w:rsidP="003F7027">
      <w:pPr>
        <w:spacing w:line="312" w:lineRule="auto"/>
        <w:ind w:firstLine="720"/>
        <w:jc w:val="both"/>
        <w:rPr>
          <w:szCs w:val="28"/>
        </w:rPr>
      </w:pPr>
      <w:r>
        <w:rPr>
          <w:szCs w:val="28"/>
        </w:rPr>
        <w:t xml:space="preserve">Nhìn </w:t>
      </w:r>
      <w:proofErr w:type="gramStart"/>
      <w:r>
        <w:rPr>
          <w:szCs w:val="28"/>
        </w:rPr>
        <w:t>chung</w:t>
      </w:r>
      <w:proofErr w:type="gramEnd"/>
      <w:r>
        <w:rPr>
          <w:szCs w:val="28"/>
        </w:rPr>
        <w:t xml:space="preserve">, công tác quản lý, sử dụng tài sản nhà nước của đơn vị được giao quản lý, sử dụng thực hiện đúng quy định hiện hành. </w:t>
      </w:r>
    </w:p>
    <w:p w:rsidR="004F034B" w:rsidRPr="00486CFA" w:rsidRDefault="004D7A97" w:rsidP="00103033">
      <w:pPr>
        <w:spacing w:line="312" w:lineRule="auto"/>
        <w:ind w:firstLine="720"/>
        <w:jc w:val="both"/>
        <w:rPr>
          <w:b/>
          <w:szCs w:val="28"/>
        </w:rPr>
      </w:pPr>
      <w:r w:rsidRPr="00486CFA">
        <w:rPr>
          <w:b/>
          <w:szCs w:val="28"/>
        </w:rPr>
        <w:t>2. Công tác chỉ đạo, hướng dẫn, kiểm tra việc quản lý, sử dụng tài sản nhà nước của đơn vị:</w:t>
      </w:r>
    </w:p>
    <w:p w:rsidR="004D7A97" w:rsidRDefault="004D7A97" w:rsidP="003F7027">
      <w:pPr>
        <w:spacing w:line="312" w:lineRule="auto"/>
        <w:ind w:firstLine="720"/>
        <w:jc w:val="both"/>
        <w:rPr>
          <w:szCs w:val="28"/>
        </w:rPr>
      </w:pPr>
      <w:r>
        <w:rPr>
          <w:szCs w:val="28"/>
        </w:rPr>
        <w:t xml:space="preserve">Đơn vị thực hiện kiểm kê, rà soát tài sản hàng năm lên kế hoạch mua sắm bổ sung từ nguồn kinh phí thường xuyên và nguồn </w:t>
      </w:r>
      <w:proofErr w:type="gramStart"/>
      <w:r>
        <w:rPr>
          <w:szCs w:val="28"/>
        </w:rPr>
        <w:t>thu</w:t>
      </w:r>
      <w:proofErr w:type="gramEnd"/>
      <w:r>
        <w:rPr>
          <w:szCs w:val="28"/>
        </w:rPr>
        <w:t xml:space="preserve"> hợp pháp khác. Quy trình mua sắm tài sản được thực hiện theo đúng quy định của Luật Đấu thầu, thực hiện cơ chế công khai minh bạch t</w:t>
      </w:r>
      <w:r w:rsidR="003F7027">
        <w:rPr>
          <w:szCs w:val="28"/>
        </w:rPr>
        <w:t>r</w:t>
      </w:r>
      <w:r>
        <w:rPr>
          <w:szCs w:val="28"/>
        </w:rPr>
        <w:t xml:space="preserve">ong mua sắm, </w:t>
      </w:r>
      <w:r w:rsidR="005E65CD">
        <w:rPr>
          <w:szCs w:val="28"/>
        </w:rPr>
        <w:t>hạn chế tối đa việc nâng giá để hưởng chêch lệch, tiết kiệm và chống lãng phí trong mua sắm tài sản công.</w:t>
      </w:r>
    </w:p>
    <w:p w:rsidR="00A54F48" w:rsidRDefault="005E65CD" w:rsidP="00103033">
      <w:pPr>
        <w:spacing w:line="312" w:lineRule="auto"/>
        <w:ind w:firstLine="720"/>
        <w:jc w:val="both"/>
        <w:rPr>
          <w:szCs w:val="28"/>
        </w:rPr>
      </w:pPr>
      <w:r w:rsidRPr="00A54F48">
        <w:rPr>
          <w:b/>
          <w:szCs w:val="28"/>
        </w:rPr>
        <w:t>3. Kiến nghị các giải pháp nhằm hoàn thiện hệ thống pháp luật, nâng cao hiệu quả công tác quản lý, sử dụng tài sản nhà nước:</w:t>
      </w:r>
      <w:r>
        <w:rPr>
          <w:szCs w:val="28"/>
        </w:rPr>
        <w:t xml:space="preserve"> </w:t>
      </w:r>
    </w:p>
    <w:p w:rsidR="005E65CD" w:rsidRDefault="005E65CD" w:rsidP="00103033">
      <w:pPr>
        <w:spacing w:line="312" w:lineRule="auto"/>
        <w:ind w:firstLine="720"/>
        <w:jc w:val="both"/>
        <w:rPr>
          <w:szCs w:val="28"/>
        </w:rPr>
      </w:pPr>
      <w:r>
        <w:rPr>
          <w:szCs w:val="28"/>
        </w:rPr>
        <w:t>C</w:t>
      </w:r>
      <w:r w:rsidR="003F7027">
        <w:rPr>
          <w:szCs w:val="28"/>
        </w:rPr>
        <w:t>ầ</w:t>
      </w:r>
      <w:r>
        <w:rPr>
          <w:szCs w:val="28"/>
        </w:rPr>
        <w:t xml:space="preserve">n tổ chức tập huấn nâng cao trình độn chuyên môn nghiệp vụ cho đội </w:t>
      </w:r>
      <w:proofErr w:type="gramStart"/>
      <w:r>
        <w:rPr>
          <w:szCs w:val="28"/>
        </w:rPr>
        <w:t>ngũ</w:t>
      </w:r>
      <w:proofErr w:type="gramEnd"/>
      <w:r>
        <w:rPr>
          <w:szCs w:val="28"/>
        </w:rPr>
        <w:t xml:space="preserve"> cán bộ, công chức làm công tác quản lý tài sản nhà nước đẻ nâng cao hiệu quả quản lý, sử dụng tài sản nhà nước.</w:t>
      </w:r>
    </w:p>
    <w:p w:rsidR="00486CFA" w:rsidRDefault="005E65CD" w:rsidP="003F7027">
      <w:pPr>
        <w:spacing w:line="312" w:lineRule="auto"/>
        <w:ind w:firstLine="720"/>
        <w:jc w:val="both"/>
        <w:rPr>
          <w:szCs w:val="28"/>
        </w:rPr>
      </w:pPr>
      <w:r>
        <w:rPr>
          <w:szCs w:val="28"/>
        </w:rPr>
        <w:t xml:space="preserve">Trên đây là toàn bộ báo cáo của trường </w:t>
      </w:r>
      <w:r w:rsidR="003F7027">
        <w:rPr>
          <w:szCs w:val="28"/>
        </w:rPr>
        <w:t xml:space="preserve">Trường </w:t>
      </w:r>
      <w:r w:rsidR="00A54F48">
        <w:rPr>
          <w:szCs w:val="28"/>
        </w:rPr>
        <w:t>mẫu giáo Long Thạnh</w:t>
      </w:r>
      <w:r w:rsidR="003F7027">
        <w:rPr>
          <w:szCs w:val="28"/>
        </w:rPr>
        <w:t xml:space="preserve"> </w:t>
      </w:r>
      <w:r>
        <w:rPr>
          <w:szCs w:val="28"/>
        </w:rPr>
        <w:t>về tình hình quản lý, sử dụng tài sản nhà nước</w:t>
      </w:r>
      <w:proofErr w:type="gramStart"/>
      <w:r>
        <w:rPr>
          <w:szCs w:val="28"/>
        </w:rPr>
        <w:t>./</w:t>
      </w:r>
      <w:proofErr w:type="gramEnd"/>
      <w:r>
        <w:rPr>
          <w:szCs w:val="28"/>
        </w:rPr>
        <w:t>.</w:t>
      </w:r>
    </w:p>
    <w:tbl>
      <w:tblPr>
        <w:tblW w:w="9889" w:type="dxa"/>
        <w:tblLook w:val="04A0"/>
      </w:tblPr>
      <w:tblGrid>
        <w:gridCol w:w="4644"/>
        <w:gridCol w:w="5245"/>
      </w:tblGrid>
      <w:tr w:rsidR="00486CFA" w:rsidRPr="00263CED" w:rsidTr="00FF4C5D">
        <w:tc>
          <w:tcPr>
            <w:tcW w:w="4644" w:type="dxa"/>
          </w:tcPr>
          <w:p w:rsidR="00486CFA" w:rsidRPr="00486CFA" w:rsidRDefault="00486CFA" w:rsidP="00FF4C5D">
            <w:pPr>
              <w:jc w:val="both"/>
              <w:rPr>
                <w:b/>
                <w:sz w:val="24"/>
                <w:szCs w:val="24"/>
                <w:lang w:val="vi-VN"/>
              </w:rPr>
            </w:pPr>
            <w:r w:rsidRPr="00486CFA">
              <w:rPr>
                <w:b/>
                <w:bCs/>
                <w:i/>
                <w:iCs/>
                <w:sz w:val="24"/>
                <w:szCs w:val="24"/>
                <w:lang w:val="vi-VN"/>
              </w:rPr>
              <w:t>Nơi nhận:</w:t>
            </w:r>
          </w:p>
          <w:p w:rsidR="00486CFA" w:rsidRPr="00486CFA" w:rsidRDefault="00486CFA" w:rsidP="00FF4C5D">
            <w:pPr>
              <w:rPr>
                <w:sz w:val="22"/>
                <w:lang w:val="vi-VN"/>
              </w:rPr>
            </w:pPr>
            <w:r w:rsidRPr="00486CFA">
              <w:rPr>
                <w:sz w:val="22"/>
                <w:lang w:val="vi-VN"/>
              </w:rPr>
              <w:t>- Phòng TC-KH huyện;</w:t>
            </w:r>
          </w:p>
          <w:p w:rsidR="00486CFA" w:rsidRPr="00486CFA" w:rsidRDefault="00486CFA" w:rsidP="00FF4C5D">
            <w:pPr>
              <w:rPr>
                <w:sz w:val="22"/>
                <w:lang w:val="vi-VN"/>
              </w:rPr>
            </w:pPr>
            <w:r w:rsidRPr="00486CFA">
              <w:rPr>
                <w:sz w:val="22"/>
                <w:lang w:val="vi-VN"/>
              </w:rPr>
              <w:t>- Phòng GD &amp; ĐT;</w:t>
            </w:r>
          </w:p>
          <w:p w:rsidR="00486CFA" w:rsidRPr="00263CED" w:rsidRDefault="00486CFA" w:rsidP="00FF4C5D">
            <w:pPr>
              <w:jc w:val="both"/>
              <w:rPr>
                <w:szCs w:val="28"/>
                <w:lang w:val="vi-VN"/>
              </w:rPr>
            </w:pPr>
            <w:r w:rsidRPr="00486CFA">
              <w:rPr>
                <w:sz w:val="22"/>
                <w:lang w:val="vi-VN"/>
              </w:rPr>
              <w:t>- Lưu : VT.</w:t>
            </w:r>
            <w:r w:rsidRPr="00486CFA">
              <w:rPr>
                <w:sz w:val="22"/>
                <w:lang w:val="vi-VN"/>
              </w:rPr>
              <w:tab/>
            </w:r>
          </w:p>
        </w:tc>
        <w:tc>
          <w:tcPr>
            <w:tcW w:w="5245" w:type="dxa"/>
          </w:tcPr>
          <w:p w:rsidR="00486CFA" w:rsidRPr="00486CFA" w:rsidRDefault="00486CFA" w:rsidP="00FF4C5D">
            <w:pPr>
              <w:autoSpaceDE w:val="0"/>
              <w:autoSpaceDN w:val="0"/>
              <w:adjustRightInd w:val="0"/>
              <w:spacing w:before="120" w:after="120" w:line="360" w:lineRule="exact"/>
              <w:jc w:val="center"/>
              <w:rPr>
                <w:b/>
                <w:szCs w:val="28"/>
                <w:lang w:val="vi-VN"/>
              </w:rPr>
            </w:pPr>
            <w:r w:rsidRPr="00486CFA">
              <w:rPr>
                <w:b/>
                <w:szCs w:val="28"/>
                <w:lang w:val="vi-VN"/>
              </w:rPr>
              <w:t xml:space="preserve">HIỆU TRƯỞNG </w:t>
            </w:r>
          </w:p>
          <w:p w:rsidR="00486CFA" w:rsidRPr="00263CED" w:rsidRDefault="00486CFA" w:rsidP="00FF4C5D">
            <w:pPr>
              <w:autoSpaceDE w:val="0"/>
              <w:autoSpaceDN w:val="0"/>
              <w:adjustRightInd w:val="0"/>
              <w:spacing w:before="120" w:after="120" w:line="360" w:lineRule="exact"/>
              <w:jc w:val="center"/>
              <w:rPr>
                <w:szCs w:val="28"/>
                <w:lang w:val="vi-VN"/>
              </w:rPr>
            </w:pPr>
          </w:p>
          <w:p w:rsidR="00486CFA" w:rsidRPr="00263CED" w:rsidRDefault="00486CFA" w:rsidP="00FF4C5D">
            <w:pPr>
              <w:autoSpaceDE w:val="0"/>
              <w:autoSpaceDN w:val="0"/>
              <w:adjustRightInd w:val="0"/>
              <w:spacing w:before="120" w:after="120" w:line="360" w:lineRule="exact"/>
              <w:jc w:val="center"/>
              <w:rPr>
                <w:szCs w:val="28"/>
                <w:lang w:val="vi-VN"/>
              </w:rPr>
            </w:pPr>
          </w:p>
          <w:p w:rsidR="00486CFA" w:rsidRPr="00A54F48" w:rsidRDefault="00486CFA" w:rsidP="00FF4C5D">
            <w:pPr>
              <w:tabs>
                <w:tab w:val="left" w:pos="1710"/>
              </w:tabs>
              <w:autoSpaceDE w:val="0"/>
              <w:autoSpaceDN w:val="0"/>
              <w:adjustRightInd w:val="0"/>
              <w:spacing w:before="120" w:after="120" w:line="360" w:lineRule="exact"/>
              <w:rPr>
                <w:b/>
                <w:szCs w:val="28"/>
              </w:rPr>
            </w:pPr>
            <w:r w:rsidRPr="00263CED">
              <w:rPr>
                <w:szCs w:val="28"/>
                <w:lang w:val="vi-VN"/>
              </w:rPr>
              <w:t xml:space="preserve">               </w:t>
            </w:r>
            <w:r w:rsidRPr="00486CFA">
              <w:rPr>
                <w:b/>
                <w:szCs w:val="28"/>
                <w:lang w:val="vi-VN"/>
              </w:rPr>
              <w:t xml:space="preserve">Nguyễn Thị </w:t>
            </w:r>
            <w:r w:rsidR="00A54F48">
              <w:rPr>
                <w:b/>
                <w:szCs w:val="28"/>
              </w:rPr>
              <w:t>Trường Giang</w:t>
            </w:r>
          </w:p>
        </w:tc>
      </w:tr>
    </w:tbl>
    <w:p w:rsidR="00486CFA" w:rsidRPr="00486CFA" w:rsidRDefault="00486CFA" w:rsidP="00486CFA">
      <w:pPr>
        <w:rPr>
          <w:szCs w:val="28"/>
          <w:lang w:val="vi-VN"/>
        </w:rPr>
      </w:pPr>
    </w:p>
    <w:p w:rsidR="005E65CD" w:rsidRPr="00486CFA" w:rsidRDefault="005E65CD" w:rsidP="00486CFA">
      <w:pPr>
        <w:ind w:firstLine="720"/>
        <w:rPr>
          <w:szCs w:val="28"/>
          <w:lang w:val="vi-VN"/>
        </w:rPr>
      </w:pPr>
    </w:p>
    <w:sectPr w:rsidR="005E65CD" w:rsidRPr="00486CFA" w:rsidSect="00103033">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2E6"/>
    <w:multiLevelType w:val="hybridMultilevel"/>
    <w:tmpl w:val="DA66F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73899"/>
    <w:rsid w:val="00103033"/>
    <w:rsid w:val="001237CB"/>
    <w:rsid w:val="003F7027"/>
    <w:rsid w:val="00486CFA"/>
    <w:rsid w:val="004D7A97"/>
    <w:rsid w:val="004F034B"/>
    <w:rsid w:val="00531122"/>
    <w:rsid w:val="00546C1F"/>
    <w:rsid w:val="00560F1B"/>
    <w:rsid w:val="005746C3"/>
    <w:rsid w:val="005E65CD"/>
    <w:rsid w:val="00673756"/>
    <w:rsid w:val="0091256E"/>
    <w:rsid w:val="00A118E4"/>
    <w:rsid w:val="00A54F48"/>
    <w:rsid w:val="00B73899"/>
    <w:rsid w:val="00FA3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8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0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Tiêu đề</vt:lpstr>
      </vt:variant>
      <vt:variant>
        <vt:i4>1</vt:i4>
      </vt:variant>
    </vt:vector>
  </HeadingPairs>
  <TitlesOfParts>
    <vt:vector size="1" baseType="lpstr">
      <vt:lpstr/>
    </vt:vector>
  </TitlesOfParts>
  <Company>Sky123.Org</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2020-02-04T07:57:00Z</dcterms:created>
  <dcterms:modified xsi:type="dcterms:W3CDTF">2020-02-04T07:57:00Z</dcterms:modified>
</cp:coreProperties>
</file>